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DC" w:rsidRPr="00794558" w:rsidRDefault="007468DC" w:rsidP="007468DC">
      <w:pPr>
        <w:pStyle w:val="Header"/>
        <w:rPr>
          <w:sz w:val="20"/>
          <w:szCs w:val="20"/>
        </w:rPr>
      </w:pPr>
      <w:r w:rsidRPr="00944111">
        <w:rPr>
          <w:sz w:val="20"/>
          <w:szCs w:val="20"/>
        </w:rPr>
        <w:t>Indian Journal of Basic and Applied Medical Research; September 20</w:t>
      </w:r>
      <w:r>
        <w:rPr>
          <w:sz w:val="20"/>
          <w:szCs w:val="20"/>
        </w:rPr>
        <w:t xml:space="preserve">15: Vol.-4, Issue- 4, </w:t>
      </w:r>
      <w:r w:rsidR="00CD041B">
        <w:rPr>
          <w:sz w:val="20"/>
          <w:szCs w:val="20"/>
        </w:rPr>
        <w:t>P. 476-483</w:t>
      </w:r>
    </w:p>
    <w:p w:rsidR="007468DC" w:rsidRDefault="007468DC" w:rsidP="007468DC">
      <w:pPr>
        <w:spacing w:line="360" w:lineRule="auto"/>
        <w:jc w:val="both"/>
        <w:rPr>
          <w:rFonts w:asciiTheme="majorHAnsi" w:hAnsiTheme="majorHAnsi"/>
          <w:b/>
          <w:bCs/>
          <w:highlight w:val="lightGray"/>
        </w:rPr>
      </w:pPr>
    </w:p>
    <w:p w:rsidR="00CD041B" w:rsidRPr="00051427" w:rsidRDefault="00CD041B" w:rsidP="00CD041B">
      <w:pPr>
        <w:spacing w:line="360" w:lineRule="auto"/>
        <w:jc w:val="both"/>
        <w:rPr>
          <w:rFonts w:asciiTheme="majorHAnsi" w:hAnsiTheme="majorHAnsi"/>
          <w:b/>
        </w:rPr>
      </w:pPr>
      <w:r w:rsidRPr="00051427">
        <w:rPr>
          <w:rFonts w:asciiTheme="majorHAnsi" w:hAnsiTheme="majorHAnsi"/>
          <w:b/>
          <w:highlight w:val="lightGray"/>
        </w:rPr>
        <w:t>Case report</w:t>
      </w:r>
      <w:r w:rsidRPr="00051427">
        <w:rPr>
          <w:rFonts w:asciiTheme="majorHAnsi" w:hAnsiTheme="majorHAnsi"/>
          <w:b/>
        </w:rPr>
        <w:t xml:space="preserve"> </w:t>
      </w:r>
    </w:p>
    <w:p w:rsidR="00CD041B" w:rsidRPr="00051427" w:rsidRDefault="00CD041B" w:rsidP="00CD041B">
      <w:pPr>
        <w:spacing w:line="360" w:lineRule="auto"/>
        <w:jc w:val="both"/>
        <w:rPr>
          <w:rFonts w:asciiTheme="majorHAnsi" w:hAnsiTheme="majorHAnsi"/>
          <w:b/>
          <w:color w:val="1F497D" w:themeColor="text2"/>
          <w:sz w:val="28"/>
          <w:szCs w:val="28"/>
        </w:rPr>
      </w:pPr>
      <w:proofErr w:type="spellStart"/>
      <w:r w:rsidRPr="00051427">
        <w:rPr>
          <w:rFonts w:asciiTheme="majorHAnsi" w:hAnsiTheme="majorHAnsi"/>
          <w:b/>
          <w:color w:val="1F497D" w:themeColor="text2"/>
          <w:sz w:val="28"/>
          <w:szCs w:val="28"/>
        </w:rPr>
        <w:t>Henoch-Schonlein</w:t>
      </w:r>
      <w:proofErr w:type="spellEnd"/>
      <w:r w:rsidRPr="00051427">
        <w:rPr>
          <w:rFonts w:asciiTheme="majorHAnsi" w:hAnsiTheme="majorHAnsi"/>
          <w:b/>
          <w:color w:val="1F497D" w:themeColor="text2"/>
          <w:sz w:val="28"/>
          <w:szCs w:val="28"/>
        </w:rPr>
        <w:t xml:space="preserve"> </w:t>
      </w:r>
      <w:proofErr w:type="spellStart"/>
      <w:r w:rsidRPr="00051427">
        <w:rPr>
          <w:rFonts w:asciiTheme="majorHAnsi" w:hAnsiTheme="majorHAnsi"/>
          <w:b/>
          <w:color w:val="1F497D" w:themeColor="text2"/>
          <w:sz w:val="28"/>
          <w:szCs w:val="28"/>
        </w:rPr>
        <w:t>Purpura</w:t>
      </w:r>
      <w:proofErr w:type="spellEnd"/>
      <w:r w:rsidRPr="00051427">
        <w:rPr>
          <w:rFonts w:asciiTheme="majorHAnsi" w:hAnsiTheme="majorHAnsi"/>
          <w:b/>
          <w:color w:val="1F497D" w:themeColor="text2"/>
          <w:sz w:val="28"/>
          <w:szCs w:val="28"/>
        </w:rPr>
        <w:t xml:space="preserve">: </w:t>
      </w:r>
      <w:proofErr w:type="gramStart"/>
      <w:r w:rsidRPr="00051427">
        <w:rPr>
          <w:rFonts w:asciiTheme="majorHAnsi" w:hAnsiTheme="majorHAnsi"/>
          <w:b/>
          <w:color w:val="1F497D" w:themeColor="text2"/>
          <w:sz w:val="28"/>
          <w:szCs w:val="28"/>
        </w:rPr>
        <w:t>An</w:t>
      </w:r>
      <w:proofErr w:type="gramEnd"/>
      <w:r w:rsidRPr="00051427">
        <w:rPr>
          <w:rFonts w:asciiTheme="majorHAnsi" w:hAnsiTheme="majorHAnsi"/>
          <w:b/>
          <w:color w:val="1F497D" w:themeColor="text2"/>
          <w:sz w:val="28"/>
          <w:szCs w:val="28"/>
        </w:rPr>
        <w:t xml:space="preserve"> unusual presentation of Disseminated Tuberculosis</w:t>
      </w:r>
    </w:p>
    <w:p w:rsidR="00CD041B" w:rsidRDefault="00CD041B" w:rsidP="00CD041B">
      <w:pPr>
        <w:spacing w:line="360" w:lineRule="auto"/>
        <w:jc w:val="both"/>
        <w:rPr>
          <w:rFonts w:asciiTheme="majorHAnsi" w:eastAsia="Times New Roman" w:hAnsiTheme="majorHAnsi"/>
          <w:b/>
        </w:rPr>
      </w:pPr>
      <w:proofErr w:type="spellStart"/>
      <w:r w:rsidRPr="00051427">
        <w:rPr>
          <w:rFonts w:asciiTheme="majorHAnsi" w:hAnsiTheme="majorHAnsi"/>
          <w:b/>
        </w:rPr>
        <w:t>Gaurav</w:t>
      </w:r>
      <w:proofErr w:type="spellEnd"/>
      <w:r w:rsidRPr="00051427">
        <w:rPr>
          <w:rFonts w:asciiTheme="majorHAnsi" w:hAnsiTheme="majorHAnsi"/>
          <w:b/>
        </w:rPr>
        <w:t xml:space="preserve"> </w:t>
      </w:r>
      <w:proofErr w:type="gramStart"/>
      <w:r w:rsidRPr="00051427">
        <w:rPr>
          <w:rFonts w:asciiTheme="majorHAnsi" w:hAnsiTheme="majorHAnsi"/>
          <w:b/>
        </w:rPr>
        <w:t xml:space="preserve">Seth </w:t>
      </w:r>
      <w:r>
        <w:rPr>
          <w:rFonts w:asciiTheme="majorHAnsi" w:hAnsiTheme="majorHAnsi"/>
          <w:b/>
        </w:rPr>
        <w:t>,</w:t>
      </w:r>
      <w:r w:rsidRPr="00051427">
        <w:rPr>
          <w:rFonts w:asciiTheme="majorHAnsi" w:eastAsia="Times New Roman" w:hAnsiTheme="majorHAnsi"/>
          <w:b/>
        </w:rPr>
        <w:t>Dr</w:t>
      </w:r>
      <w:proofErr w:type="gramEnd"/>
      <w:r w:rsidRPr="00051427">
        <w:rPr>
          <w:rFonts w:asciiTheme="majorHAnsi" w:eastAsia="Times New Roman" w:hAnsiTheme="majorHAnsi"/>
          <w:b/>
        </w:rPr>
        <w:t xml:space="preserve"> </w:t>
      </w:r>
      <w:proofErr w:type="spellStart"/>
      <w:r w:rsidRPr="00051427">
        <w:rPr>
          <w:rFonts w:asciiTheme="majorHAnsi" w:eastAsia="Times New Roman" w:hAnsiTheme="majorHAnsi"/>
          <w:b/>
        </w:rPr>
        <w:t>Anurag</w:t>
      </w:r>
      <w:proofErr w:type="spellEnd"/>
      <w:r w:rsidRPr="00051427">
        <w:rPr>
          <w:rFonts w:asciiTheme="majorHAnsi" w:eastAsia="Times New Roman" w:hAnsiTheme="majorHAnsi"/>
          <w:b/>
        </w:rPr>
        <w:t xml:space="preserve"> </w:t>
      </w:r>
      <w:proofErr w:type="spellStart"/>
      <w:r w:rsidRPr="00051427">
        <w:rPr>
          <w:rFonts w:asciiTheme="majorHAnsi" w:eastAsia="Times New Roman" w:hAnsiTheme="majorHAnsi"/>
          <w:b/>
        </w:rPr>
        <w:t>Rohatgi</w:t>
      </w:r>
      <w:proofErr w:type="spellEnd"/>
      <w:r w:rsidRPr="00051427">
        <w:rPr>
          <w:rFonts w:asciiTheme="majorHAnsi" w:eastAsia="Times New Roman" w:hAnsiTheme="majorHAnsi"/>
          <w:b/>
        </w:rPr>
        <w:t xml:space="preserve">, Dr </w:t>
      </w:r>
      <w:proofErr w:type="spellStart"/>
      <w:r w:rsidRPr="00051427">
        <w:rPr>
          <w:rFonts w:asciiTheme="majorHAnsi" w:eastAsia="Times New Roman" w:hAnsiTheme="majorHAnsi"/>
          <w:b/>
        </w:rPr>
        <w:t>Gunjan</w:t>
      </w:r>
      <w:proofErr w:type="spellEnd"/>
      <w:r w:rsidRPr="00051427">
        <w:rPr>
          <w:rFonts w:asciiTheme="majorHAnsi" w:eastAsia="Times New Roman" w:hAnsiTheme="majorHAnsi"/>
          <w:b/>
        </w:rPr>
        <w:t xml:space="preserve"> Kumar</w:t>
      </w:r>
    </w:p>
    <w:p w:rsidR="00CD041B" w:rsidRPr="00051427" w:rsidRDefault="00CD041B" w:rsidP="00CD041B">
      <w:pPr>
        <w:spacing w:line="360" w:lineRule="auto"/>
        <w:jc w:val="both"/>
        <w:rPr>
          <w:rFonts w:asciiTheme="majorHAnsi" w:hAnsiTheme="majorHAnsi"/>
          <w:b/>
        </w:rPr>
      </w:pPr>
    </w:p>
    <w:p w:rsidR="00CD041B" w:rsidRDefault="00CD041B" w:rsidP="00CD041B">
      <w:pPr>
        <w:spacing w:line="360" w:lineRule="auto"/>
        <w:jc w:val="both"/>
        <w:rPr>
          <w:rFonts w:asciiTheme="majorHAnsi" w:eastAsia="Times New Roman" w:hAnsiTheme="majorHAnsi"/>
          <w:sz w:val="18"/>
          <w:szCs w:val="18"/>
        </w:rPr>
      </w:pPr>
      <w:r w:rsidRPr="00051427">
        <w:rPr>
          <w:rFonts w:asciiTheme="majorHAnsi" w:eastAsia="Times New Roman" w:hAnsiTheme="majorHAnsi"/>
          <w:sz w:val="18"/>
          <w:szCs w:val="18"/>
        </w:rPr>
        <w:t xml:space="preserve">Jawaharlal Institute of Postgraduate Medical Education and Research (JIPMER), </w:t>
      </w:r>
      <w:proofErr w:type="spellStart"/>
      <w:r w:rsidRPr="00051427">
        <w:rPr>
          <w:rFonts w:asciiTheme="majorHAnsi" w:eastAsia="Times New Roman" w:hAnsiTheme="majorHAnsi"/>
          <w:sz w:val="18"/>
          <w:szCs w:val="18"/>
        </w:rPr>
        <w:t>Pudducherry</w:t>
      </w:r>
      <w:proofErr w:type="spellEnd"/>
    </w:p>
    <w:p w:rsidR="00CD041B" w:rsidRDefault="00CD041B" w:rsidP="00CD041B">
      <w:pPr>
        <w:pBdr>
          <w:bottom w:val="single" w:sz="6" w:space="1" w:color="auto"/>
        </w:pBdr>
        <w:spacing w:line="360" w:lineRule="auto"/>
        <w:jc w:val="both"/>
        <w:rPr>
          <w:rFonts w:asciiTheme="majorHAnsi" w:eastAsia="Times New Roman" w:hAnsiTheme="majorHAnsi"/>
          <w:sz w:val="18"/>
          <w:szCs w:val="18"/>
        </w:rPr>
      </w:pPr>
      <w:r>
        <w:rPr>
          <w:rFonts w:asciiTheme="majorHAnsi" w:eastAsia="Times New Roman" w:hAnsiTheme="majorHAnsi"/>
          <w:sz w:val="18"/>
          <w:szCs w:val="18"/>
        </w:rPr>
        <w:t xml:space="preserve">Corresponding </w:t>
      </w:r>
      <w:proofErr w:type="gramStart"/>
      <w:r>
        <w:rPr>
          <w:rFonts w:asciiTheme="majorHAnsi" w:eastAsia="Times New Roman" w:hAnsiTheme="majorHAnsi"/>
          <w:sz w:val="18"/>
          <w:szCs w:val="18"/>
        </w:rPr>
        <w:t>author :</w:t>
      </w:r>
      <w:proofErr w:type="gramEnd"/>
      <w:r>
        <w:rPr>
          <w:rFonts w:asciiTheme="majorHAnsi" w:eastAsia="Times New Roman" w:hAnsiTheme="majorHAnsi"/>
          <w:sz w:val="18"/>
          <w:szCs w:val="18"/>
        </w:rPr>
        <w:t xml:space="preserve"> Dr </w:t>
      </w:r>
      <w:proofErr w:type="spellStart"/>
      <w:r>
        <w:rPr>
          <w:rFonts w:asciiTheme="majorHAnsi" w:eastAsia="Times New Roman" w:hAnsiTheme="majorHAnsi"/>
          <w:sz w:val="18"/>
          <w:szCs w:val="18"/>
        </w:rPr>
        <w:t>Gaurav</w:t>
      </w:r>
      <w:proofErr w:type="spellEnd"/>
      <w:r>
        <w:rPr>
          <w:rFonts w:asciiTheme="majorHAnsi" w:eastAsia="Times New Roman" w:hAnsiTheme="majorHAnsi"/>
          <w:sz w:val="18"/>
          <w:szCs w:val="18"/>
        </w:rPr>
        <w:t xml:space="preserve"> Seth </w:t>
      </w:r>
    </w:p>
    <w:p w:rsidR="00CD041B" w:rsidRDefault="00CD041B" w:rsidP="00CD041B">
      <w:pPr>
        <w:spacing w:line="360" w:lineRule="auto"/>
        <w:jc w:val="both"/>
        <w:rPr>
          <w:rFonts w:asciiTheme="majorHAnsi" w:hAnsiTheme="majorHAnsi"/>
          <w:sz w:val="18"/>
          <w:szCs w:val="18"/>
        </w:rPr>
      </w:pPr>
    </w:p>
    <w:p w:rsidR="00CD041B" w:rsidRPr="00051427" w:rsidRDefault="00CD041B" w:rsidP="00CD041B">
      <w:pPr>
        <w:spacing w:line="360" w:lineRule="auto"/>
        <w:jc w:val="both"/>
        <w:rPr>
          <w:rFonts w:asciiTheme="majorHAnsi" w:hAnsiTheme="majorHAnsi"/>
          <w:b/>
          <w:sz w:val="18"/>
          <w:szCs w:val="18"/>
        </w:rPr>
      </w:pPr>
      <w:r w:rsidRPr="00051427">
        <w:rPr>
          <w:rFonts w:asciiTheme="majorHAnsi" w:hAnsiTheme="majorHAnsi"/>
          <w:b/>
          <w:sz w:val="18"/>
          <w:szCs w:val="18"/>
        </w:rPr>
        <w:t xml:space="preserve">Abstract: </w:t>
      </w:r>
    </w:p>
    <w:p w:rsidR="00CD041B" w:rsidRPr="00051427" w:rsidRDefault="00CD041B" w:rsidP="00CD041B">
      <w:pPr>
        <w:pBdr>
          <w:bottom w:val="single" w:sz="6" w:space="1" w:color="auto"/>
        </w:pBdr>
        <w:spacing w:line="360" w:lineRule="auto"/>
        <w:jc w:val="both"/>
        <w:rPr>
          <w:sz w:val="18"/>
          <w:szCs w:val="18"/>
        </w:rPr>
      </w:pPr>
      <w:proofErr w:type="spellStart"/>
      <w:r w:rsidRPr="00051427">
        <w:rPr>
          <w:sz w:val="18"/>
          <w:szCs w:val="18"/>
        </w:rPr>
        <w:t>Henoch-Schönlein</w:t>
      </w:r>
      <w:proofErr w:type="spellEnd"/>
      <w:r w:rsidRPr="00051427">
        <w:rPr>
          <w:sz w:val="18"/>
          <w:szCs w:val="18"/>
        </w:rPr>
        <w:t xml:space="preserve"> </w:t>
      </w:r>
      <w:proofErr w:type="spellStart"/>
      <w:r w:rsidRPr="00051427">
        <w:rPr>
          <w:sz w:val="18"/>
          <w:szCs w:val="18"/>
        </w:rPr>
        <w:t>purpura</w:t>
      </w:r>
      <w:proofErr w:type="spellEnd"/>
      <w:r w:rsidRPr="00051427">
        <w:rPr>
          <w:sz w:val="18"/>
          <w:szCs w:val="18"/>
        </w:rPr>
        <w:t xml:space="preserve"> (HSP) is common in children and adolescents</w:t>
      </w:r>
      <w:r w:rsidRPr="00051427">
        <w:rPr>
          <w:sz w:val="18"/>
          <w:szCs w:val="18"/>
          <w:vertAlign w:val="superscript"/>
        </w:rPr>
        <w:t xml:space="preserve"> </w:t>
      </w:r>
      <w:r w:rsidRPr="00051427">
        <w:rPr>
          <w:sz w:val="18"/>
          <w:szCs w:val="18"/>
        </w:rPr>
        <w:t xml:space="preserve">between 3 and 15 years of age and is more frequent in boys than in </w:t>
      </w:r>
      <w:proofErr w:type="gramStart"/>
      <w:r w:rsidRPr="00051427">
        <w:rPr>
          <w:sz w:val="18"/>
          <w:szCs w:val="18"/>
        </w:rPr>
        <w:t>girls .</w:t>
      </w:r>
      <w:proofErr w:type="gramEnd"/>
      <w:r w:rsidRPr="00051427">
        <w:rPr>
          <w:sz w:val="18"/>
          <w:szCs w:val="18"/>
        </w:rPr>
        <w:t xml:space="preserve"> It is recognized as a putative </w:t>
      </w:r>
      <w:proofErr w:type="spellStart"/>
      <w:r w:rsidRPr="00051427">
        <w:rPr>
          <w:sz w:val="18"/>
          <w:szCs w:val="18"/>
        </w:rPr>
        <w:t>IgA</w:t>
      </w:r>
      <w:proofErr w:type="spellEnd"/>
      <w:r w:rsidRPr="00051427">
        <w:rPr>
          <w:sz w:val="18"/>
          <w:szCs w:val="18"/>
        </w:rPr>
        <w:t xml:space="preserve">-mediated immune </w:t>
      </w:r>
      <w:proofErr w:type="spellStart"/>
      <w:r w:rsidRPr="00051427">
        <w:rPr>
          <w:sz w:val="18"/>
          <w:szCs w:val="18"/>
        </w:rPr>
        <w:t>vasculitis</w:t>
      </w:r>
      <w:proofErr w:type="spellEnd"/>
      <w:r w:rsidRPr="00051427">
        <w:rPr>
          <w:sz w:val="18"/>
          <w:szCs w:val="18"/>
        </w:rPr>
        <w:t xml:space="preserve">. Diagnosis is based on the clinical tetrad of arthritis, abdominal pain, </w:t>
      </w:r>
      <w:proofErr w:type="spellStart"/>
      <w:r w:rsidRPr="00051427">
        <w:rPr>
          <w:sz w:val="18"/>
          <w:szCs w:val="18"/>
        </w:rPr>
        <w:t>hematuria</w:t>
      </w:r>
      <w:proofErr w:type="spellEnd"/>
      <w:r w:rsidRPr="00051427">
        <w:rPr>
          <w:sz w:val="18"/>
          <w:szCs w:val="18"/>
        </w:rPr>
        <w:t xml:space="preserve">, and </w:t>
      </w:r>
      <w:proofErr w:type="spellStart"/>
      <w:r w:rsidRPr="00051427">
        <w:rPr>
          <w:sz w:val="18"/>
          <w:szCs w:val="18"/>
        </w:rPr>
        <w:t>nonthrombocytopenic</w:t>
      </w:r>
      <w:proofErr w:type="spellEnd"/>
      <w:r w:rsidRPr="00051427">
        <w:rPr>
          <w:sz w:val="18"/>
          <w:szCs w:val="18"/>
        </w:rPr>
        <w:t xml:space="preserve"> </w:t>
      </w:r>
      <w:proofErr w:type="spellStart"/>
      <w:r w:rsidRPr="00051427">
        <w:rPr>
          <w:sz w:val="18"/>
          <w:szCs w:val="18"/>
        </w:rPr>
        <w:t>purpura</w:t>
      </w:r>
      <w:proofErr w:type="spellEnd"/>
      <w:r w:rsidRPr="00051427">
        <w:rPr>
          <w:sz w:val="18"/>
          <w:szCs w:val="18"/>
        </w:rPr>
        <w:t xml:space="preserve">. Herewith we presented a case </w:t>
      </w:r>
      <w:proofErr w:type="gramStart"/>
      <w:r w:rsidRPr="00051427">
        <w:rPr>
          <w:sz w:val="18"/>
          <w:szCs w:val="18"/>
        </w:rPr>
        <w:t>of  60</w:t>
      </w:r>
      <w:proofErr w:type="gramEnd"/>
      <w:r w:rsidRPr="00051427">
        <w:rPr>
          <w:sz w:val="18"/>
          <w:szCs w:val="18"/>
        </w:rPr>
        <w:t xml:space="preserve"> year old man fruit vendor by occupation presented to the medical emergency with complaints of fever, anorexia and weight loss for one month which was associated with simultaneous multiple symmetric and painful joint swelling in bilateral proximal </w:t>
      </w:r>
      <w:proofErr w:type="spellStart"/>
      <w:r w:rsidRPr="00051427">
        <w:rPr>
          <w:sz w:val="18"/>
          <w:szCs w:val="18"/>
        </w:rPr>
        <w:t>interphalengeal</w:t>
      </w:r>
      <w:proofErr w:type="spellEnd"/>
      <w:r w:rsidRPr="00051427">
        <w:rPr>
          <w:sz w:val="18"/>
          <w:szCs w:val="18"/>
        </w:rPr>
        <w:t xml:space="preserve"> joints, wrist, elbow, knee and ankle, along with blood stained stools and cramping abdominal pain for three days. The association of tuberculosis with HSP is very rarely reported. The underlying pathogenic mechanisms are not yet clear. It may be triggered-off by tuberculosis or by </w:t>
      </w:r>
      <w:proofErr w:type="spellStart"/>
      <w:r w:rsidRPr="00051427">
        <w:rPr>
          <w:sz w:val="18"/>
          <w:szCs w:val="18"/>
        </w:rPr>
        <w:t>antituberculosis</w:t>
      </w:r>
      <w:proofErr w:type="spellEnd"/>
      <w:r w:rsidRPr="00051427">
        <w:rPr>
          <w:sz w:val="18"/>
          <w:szCs w:val="18"/>
        </w:rPr>
        <w:t xml:space="preserve"> treatment. In our patient symptoms were cured with anti </w:t>
      </w:r>
      <w:proofErr w:type="spellStart"/>
      <w:r w:rsidRPr="00051427">
        <w:rPr>
          <w:sz w:val="18"/>
          <w:szCs w:val="18"/>
        </w:rPr>
        <w:t>tuberculous</w:t>
      </w:r>
      <w:proofErr w:type="spellEnd"/>
      <w:r w:rsidRPr="00051427">
        <w:rPr>
          <w:sz w:val="18"/>
          <w:szCs w:val="18"/>
        </w:rPr>
        <w:t xml:space="preserve"> treatment without the addition of steroids, thus we conclude that HSP was triggered by Tuberculosis.</w:t>
      </w:r>
    </w:p>
    <w:p w:rsidR="00CD041B" w:rsidRPr="00051427" w:rsidRDefault="00CD041B" w:rsidP="00CD041B">
      <w:pPr>
        <w:pBdr>
          <w:bottom w:val="single" w:sz="6" w:space="1" w:color="auto"/>
        </w:pBdr>
        <w:spacing w:line="360" w:lineRule="auto"/>
        <w:jc w:val="both"/>
        <w:rPr>
          <w:sz w:val="18"/>
          <w:szCs w:val="18"/>
        </w:rPr>
      </w:pPr>
      <w:r w:rsidRPr="00051427">
        <w:rPr>
          <w:sz w:val="18"/>
          <w:szCs w:val="18"/>
        </w:rPr>
        <w:t xml:space="preserve">Keywords: </w:t>
      </w:r>
      <w:proofErr w:type="spellStart"/>
      <w:r w:rsidRPr="00051427">
        <w:rPr>
          <w:sz w:val="18"/>
          <w:szCs w:val="18"/>
        </w:rPr>
        <w:t>Henoch-Schönlein</w:t>
      </w:r>
      <w:proofErr w:type="spellEnd"/>
      <w:r w:rsidRPr="00051427">
        <w:rPr>
          <w:sz w:val="18"/>
          <w:szCs w:val="18"/>
        </w:rPr>
        <w:t xml:space="preserve"> </w:t>
      </w:r>
      <w:proofErr w:type="spellStart"/>
      <w:r w:rsidRPr="00051427">
        <w:rPr>
          <w:sz w:val="18"/>
          <w:szCs w:val="18"/>
        </w:rPr>
        <w:t>purpura</w:t>
      </w:r>
      <w:proofErr w:type="spellEnd"/>
      <w:r w:rsidRPr="00051427">
        <w:rPr>
          <w:sz w:val="18"/>
          <w:szCs w:val="18"/>
        </w:rPr>
        <w:t xml:space="preserve">, </w:t>
      </w:r>
      <w:proofErr w:type="spellStart"/>
      <w:r w:rsidRPr="00051427">
        <w:rPr>
          <w:sz w:val="18"/>
          <w:szCs w:val="18"/>
        </w:rPr>
        <w:t>vasculities</w:t>
      </w:r>
      <w:proofErr w:type="spellEnd"/>
      <w:r w:rsidRPr="00051427">
        <w:rPr>
          <w:sz w:val="18"/>
          <w:szCs w:val="18"/>
        </w:rPr>
        <w:t xml:space="preserve"> </w:t>
      </w:r>
    </w:p>
    <w:p w:rsidR="0006104F" w:rsidRDefault="0006104F" w:rsidP="00CD041B">
      <w:pPr>
        <w:spacing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8DC"/>
    <w:rsid w:val="000061B3"/>
    <w:rsid w:val="0006104F"/>
    <w:rsid w:val="00274F00"/>
    <w:rsid w:val="007468DC"/>
    <w:rsid w:val="009E591E"/>
    <w:rsid w:val="00A83F59"/>
    <w:rsid w:val="00AE3137"/>
    <w:rsid w:val="00CD041B"/>
    <w:rsid w:val="00FE1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D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rsid w:val="007468DC"/>
    <w:pPr>
      <w:tabs>
        <w:tab w:val="center" w:pos="4680"/>
        <w:tab w:val="right" w:pos="9360"/>
      </w:tabs>
    </w:pPr>
  </w:style>
  <w:style w:type="character" w:customStyle="1" w:styleId="HeaderChar">
    <w:name w:val="Header Char"/>
    <w:aliases w:val="Char Char"/>
    <w:basedOn w:val="DefaultParagraphFont"/>
    <w:link w:val="Header"/>
    <w:uiPriority w:val="99"/>
    <w:rsid w:val="007468DC"/>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2015-09-23T04:22:00Z</dcterms:created>
  <dcterms:modified xsi:type="dcterms:W3CDTF">2015-09-23T04:22:00Z</dcterms:modified>
</cp:coreProperties>
</file>